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Modelo de contrato de alquiler de local de negocio (2026)</w:t>
      </w:r>
    </w:p>
    <w:p>
      <w:pPr>
        <w:jc w:val="center"/>
      </w:pPr>
      <w:r>
        <w:rPr>
          <w:b/>
          <w:sz w:val="24"/>
        </w:rPr>
        <w:t>Qué regula este contrato</w:t>
      </w:r>
    </w:p>
    <w:p>
      <w:pPr>
        <w:jc w:val="both"/>
      </w:pPr>
      <w:r>
        <w:t>Un local para actividad comercial o profesional es un arrendamiento para uso distinto del de vivienda (artículo 3 LAU). Prima lo pactado; en su defecto se aplica el título III de la LAU y, supletoriamente, el Código Civil (art. 4.3). La duración se acuerda, sin trasladar automáticamente las prórrogas de vivienda. Esta plantilla conserva el régimen legal supletorio de los artículos 29 a 35, sin renuncias genéricas.</w:t>
      </w:r>
    </w:p>
    <w:p>
      <w:pPr>
        <w:jc w:val="both"/>
      </w:pPr>
      <w:r>
        <w:t>Antes de firmar, comprueba titularidad, uso urbanístico, licencia o declaración responsable, accesibilidad y requisitos de la actividad. La firma no acredita que el negocio pueda abrir. Documenta cualquier condición de obtención de licencia y su plazo.</w:t>
      </w:r>
    </w:p>
    <w:p>
      <w:pPr>
        <w:jc w:val="center"/>
      </w:pPr>
      <w:r>
        <w:rPr>
          <w:b/>
          <w:sz w:val="24"/>
        </w:rPr>
        <w:t>Contrato para completar</w:t>
      </w:r>
    </w:p>
    <w:p>
      <w:pPr>
        <w:jc w:val="both"/>
      </w:pPr>
      <w:r>
        <w:t xml:space="preserve">En [localidad], a [fecha]. </w:t>
      </w:r>
      <w:r>
        <w:rPr>
          <w:b/>
        </w:rPr>
        <w:t>Arrendador:</w:t>
      </w:r>
      <w:r>
        <w:t xml:space="preserve"> [identidad, documento, domicilio y representación]. </w:t>
      </w:r>
      <w:r>
        <w:rPr>
          <w:b/>
        </w:rPr>
        <w:t>Arrendatario:</w:t>
      </w:r>
      <w:r>
        <w:t xml:space="preserve"> [identidad, documento, domicilio y representación]. Ambas partes acuerdan:</w:t>
      </w:r>
    </w:p>
    <w:p>
      <w:pPr>
        <w:jc w:val="both"/>
      </w:pPr>
      <w:r>
        <w:rPr>
          <w:b/>
        </w:rPr>
        <w:t>1. Objeto.</w:t>
      </w:r>
      <w:r>
        <w:t xml:space="preserve"> Local [dirección, superficie, referencia catastral y anexos]. Se adjuntan plano, estado, inventario, contadores y documentación energética exigible. El arrendador acredita su derecho a arrendar mediante [documento].</w:t>
      </w:r>
    </w:p>
    <w:p>
      <w:pPr>
        <w:jc w:val="both"/>
      </w:pPr>
      <w:r>
        <w:rPr>
          <w:b/>
        </w:rPr>
        <w:t>2. Actividad y licencias.</w:t>
      </w:r>
      <w:r>
        <w:t xml:space="preserve"> Uso exclusivo de [actividad concreta]. El arrendatario tramita permisos de actividad; el arrendador facilita documentación y autorizaciones de su competencia. Condición por licencia: [no pactada / si se deniega por … antes de …, terminación y devolución de …]. No se autoriza una actividad incompatible con normas o comunidad.</w:t>
      </w:r>
    </w:p>
    <w:p>
      <w:pPr>
        <w:jc w:val="both"/>
      </w:pPr>
      <w:r>
        <w:rPr>
          <w:b/>
        </w:rPr>
        <w:t>3. Duración.</w:t>
      </w:r>
      <w:r>
        <w:t xml:space="preserve"> Desde [fecha] hasta [fecha]. Renovación: [sin renovación automática / periodos y preaviso]. Salida anticipada: [preaviso, compensación concreta y liquidación]. El vencimiento y cualquier continuación se documentarán; se comprobará la eventual tácita reconducción del Código Civil.</w:t>
      </w:r>
    </w:p>
    <w:p>
      <w:pPr>
        <w:jc w:val="both"/>
      </w:pPr>
      <w:r>
        <w:rPr>
          <w:b/>
        </w:rPr>
        <w:t>4. Renta y fiscalidad.</w:t>
      </w:r>
      <w:r>
        <w:t xml:space="preserve"> Renta base [importe] €, IVA legalmente aplicable [importe] €; retención cuando proceda [importe] €; neto a pagar [importe] €. Pago [fecha, medio y cuenta]. El arrendador emitirá factura y cada parte atenderá sus obligaciones fiscales. Actualización: [ninguna / índice, fecha y cálculo pactados].</w:t>
      </w:r>
    </w:p>
    <w:p>
      <w:pPr>
        <w:jc w:val="both"/>
      </w:pPr>
      <w:r>
        <w:rPr>
          <w:b/>
        </w:rPr>
        <w:t>5. Fianza y gastos.</w:t>
      </w:r>
      <w:r>
        <w:t xml:space="preserve"> Fianza legal de dos mensualidades: [importe] € (art. 36.1 LAU), con depósito autonómico cuando sea obligatorio. Garantía adicional: [ninguna / importe, alcance y devolución]. Gastos incluidos [lista]; suministros y otros gastos [concepto y reparto]. Al salir se devolverá el saldo de fianza con deducciones acreditadas; devenga interés legal pasado un mes desde la entrega de llaves sin restitución.</w:t>
      </w:r>
    </w:p>
    <w:p>
      <w:pPr>
        <w:jc w:val="both"/>
      </w:pPr>
      <w:r>
        <w:rPr>
          <w:b/>
        </w:rPr>
        <w:t>6. Conservación y obras.</w:t>
      </w:r>
      <w:r>
        <w:t xml:space="preserve"> Se aplica el art. 30 LAU, con remisión a los arts. 21, 22, 23, 26 y 19 en sus términos. Las obras del arrendatario requerirán autorización cuando sea exigible y permisos. Se anexa proyecto autorizado, coste, reposición al terminar y destino de mejoras [detallar]. El arrendador no tiene autorización de entrada indiscriminada.</w:t>
      </w:r>
    </w:p>
    <w:p>
      <w:pPr>
        <w:jc w:val="both"/>
      </w:pPr>
      <w:r>
        <w:rPr>
          <w:b/>
        </w:rPr>
        <w:t>7. Venta y adquisición preferente.</w:t>
      </w:r>
      <w:r>
        <w:t xml:space="preserve"> Se mantiene el régimen de subrogación del art. 29 y el de adquisición preferente del art. 31, por remisión al art. 25. Las partes no pactan una renuncia en esta plantilla; cualquier pacto distinto deberá concretarse y comprobarse antes de firmar.</w:t>
      </w:r>
    </w:p>
    <w:p>
      <w:pPr>
        <w:jc w:val="both"/>
      </w:pPr>
      <w:r>
        <w:rPr>
          <w:b/>
        </w:rPr>
        <w:t>8. Cesión y subarriendo.</w:t>
      </w:r>
      <w:r>
        <w:t xml:space="preserve"> Sin pacto diferente se aplica el art. 32 LAU: en actividad empresarial o profesional, cesión o subarriendo sin consentimiento previo, con notificación fehaciente al arrendador dentro del mes siguiente; incremento de renta del 10 % por subarriendo parcial y del 20 % por cesión o subarriendo total. Se mantiene el tratamiento legal de fusión, transformación o escisión. Si se desea restringirlo, redactar un pacto específico conforme al art. 4.3; no añadir prohibiciones contradictorias sin revisar el contrato.</w:t>
      </w:r>
    </w:p>
    <w:p>
      <w:pPr>
        <w:jc w:val="both"/>
      </w:pPr>
      <w:r>
        <w:rPr>
          <w:b/>
        </w:rPr>
        <w:t>9. Fallecimiento e indemnización.</w:t>
      </w:r>
      <w:r>
        <w:t xml:space="preserve"> Se mantiene el art. 33: el heredero o legatario que continúe la actividad puede subrogarse, notificándolo por escrito dentro de los dos meses del fallecimiento. La eventual indemnización al vencimiento del art. 34 no se elimina: requiere sus presupuestos, incluida actividad comercial de venta al público durante los últimos cinco años y manifestación con cuatro meses de antelación de voluntad de renovar por al menos cinco años y renta de mercado. No todo cierre genera indemnización automática.</w:t>
      </w:r>
    </w:p>
    <w:p>
      <w:pPr>
        <w:jc w:val="both"/>
      </w:pPr>
      <w:r>
        <w:rPr>
          <w:b/>
        </w:rPr>
        <w:t>10. Incumplimiento y entrega.</w:t>
      </w:r>
      <w:r>
        <w:t xml:space="preserve"> Resolución conforme al art. 35 y demás causas aplicables, sin cortes de suministro ni cambio unilateral de cerraduras. A la salida se entregan posesión y [llaves/mandos], acta de estado, lectura de contadores y liquidación documentada de rentas, garantías y obras.</w:t>
      </w:r>
    </w:p>
    <w:p>
      <w:pPr>
        <w:jc w:val="both"/>
      </w:pPr>
      <w:r>
        <w:rPr>
          <w:b/>
        </w:rPr>
        <w:t>11. Comunicaciones.</w:t>
      </w:r>
      <w:r>
        <w:t xml:space="preserve"> Domicilios [indicar], correo [indicar]. Los avisos con efectos legales usarán medios que acrediten contenido y recepción. Se firma en dos ejemplares con todos los anexos.</w:t>
      </w:r>
    </w:p>
    <w:p>
      <w:pPr>
        <w:jc w:val="both"/>
      </w:pPr>
      <w:r>
        <w:rPr>
          <w:b/>
        </w:rPr>
        <w:t>Firmas:</w:t>
      </w:r>
      <w:r>
        <w:t xml:space="preserve"> [arrendador] y [arrendatario].</w:t>
      </w:r>
    </w:p>
    <w:p>
      <w:pPr>
        <w:jc w:val="both"/>
      </w:pPr>
      <w:r>
        <w:rPr>
          <w:b/>
        </w:rPr>
        <w:t>Fuentes BOE:</w:t>
      </w:r>
      <w:r>
        <w:t xml:space="preserve"> LAU arts. 3 y 4 (https://www.boe.es/buscar/act.php?id=BOE-A-1994-26003#a3), arts. 29 a 35 (https://www.boe.es/buscar/act.php?id=BOE-A-1994-26003#a29), fianza, art. 36 (https://www.boe.es/buscar/act.php?id=BOE-A-1994-26003#a36), Código Civil (https://www.boe.es/buscar/act.php?id=BOE-A-1889-4763) y Ley del IVA (https://www.boe.es/buscar/act.php?id=BOE-A-1992-28740). Consultadas el 5 de octubre de 2026.</w:t>
      </w:r>
    </w:p>
    <w:p>
      <w:pPr>
        <w:jc w:val="both"/>
      </w:pPr>
      <w:r>
        <w:t>Te lo hacemos a medida: pide presupuesto en el formulario de esta página. Adjunta el contrato previo, actividad, plazo y las condiciones que necesitas. El precio se acordará antes de encargarlo.</w:t>
      </w:r>
    </w:p>
    <w:p>
      <w:r>
        <w:t>____________________________________________________________</w:t>
      </w:r>
    </w:p>
    <w:p>
      <w:pPr>
        <w:ind w:left="454"/>
      </w:pPr>
      <w:r>
        <w:rPr>
          <w:sz w:val="18"/>
        </w:rPr>
        <w:t>Modelo gratuito de CIRAMEVA (https://cirameva.com/modelos/contrato-alquiler-local-negocio/), orientativo y no constitutivo de asesoramiento jurídico. Te lo hacemos a medida: pide presupuesto en el formulario de la página del modelo.</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