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uerpodetextonota"/>
        <w:bidi w:val="0"/>
        <w:jc w:val="left"/>
        <w:rPr/>
      </w:pPr>
      <w:r>
        <w:rPr/>
        <w:t>Modelo gratuito de CIRAMEVA Hostelería (cirameva.com/hosteleria). Rellena lo que va entre [corchetes] y borra las notas en gris. Es un punto de partida: el plan tiene que describir lo que de verdad pasa en tu cocina. Si quieres que lo hagamos con tus datos: 190 € por empresa (hasta 3 establecimientos), en 72 h.</w:t>
      </w:r>
    </w:p>
    <w:p>
      <w:pPr>
        <w:pStyle w:val="Heading1"/>
        <w:bidi w:val="0"/>
        <w:jc w:val="left"/>
        <w:rPr/>
      </w:pPr>
      <w:r>
        <w:rPr/>
        <w:t>PLAN DE PREVENCIÓN DE LAS PÉRDIDAS Y EL DESPERDICIO ALIMENTARIO</w:t>
      </w:r>
    </w:p>
    <w:p>
      <w:pPr>
        <w:pStyle w:val="BodyText"/>
        <w:bidi w:val="0"/>
        <w:jc w:val="left"/>
        <w:rPr/>
      </w:pPr>
      <w:r>
        <w:rPr/>
        <w:t>Ley 1/2025, de 1 de abril, de prevención de las pérdidas y el desperdicio alimentario (BOE n.º 80, de 2-4-2025), art. 6.4.a).</w:t>
      </w:r>
    </w:p>
    <w:p>
      <w:pPr>
        <w:pStyle w:val="BodyText"/>
        <w:bidi w:val="0"/>
        <w:jc w:val="left"/>
        <w:rPr/>
      </w:pPr>
      <w:r>
        <w:rPr>
          <w:b/>
        </w:rPr>
        <w:t>Empresa:</w:t>
      </w:r>
      <w:r>
        <w:rPr/>
        <w:t xml:space="preserve"> [razón social] · NIF [ ] · </w:t>
      </w:r>
      <w:r>
        <w:rPr>
          <w:b/>
        </w:rPr>
        <w:t>Actividad:</w:t>
      </w:r>
      <w:r>
        <w:rPr/>
        <w:t xml:space="preserve"> [hotel / restaurante / catering / comedor colectivo] · </w:t>
      </w:r>
      <w:r>
        <w:rPr>
          <w:b/>
        </w:rPr>
        <w:t>Versión:</w:t>
      </w:r>
      <w:r>
        <w:rPr/>
        <w:t xml:space="preserve"> [1] · </w:t>
      </w:r>
      <w:r>
        <w:rPr>
          <w:b/>
        </w:rPr>
        <w:t>Fecha:</w:t>
      </w:r>
      <w:r>
        <w:rPr/>
        <w:t xml:space="preserve"> [ ] · </w:t>
      </w:r>
      <w:r>
        <w:rPr>
          <w:b/>
        </w:rPr>
        <w:t>Próxima revisión:</w:t>
      </w:r>
      <w:r>
        <w:rPr/>
        <w:t xml:space="preserve"> [fecha + 12 meses]</w:t>
      </w:r>
    </w:p>
    <w:p>
      <w:pPr>
        <w:pStyle w:val="Heading2"/>
        <w:bidi w:val="0"/>
        <w:jc w:val="left"/>
        <w:rPr/>
      </w:pPr>
      <w:r>
        <w:rPr/>
        <w:t>1. Alcance y por qué estamos obligados</w:t>
      </w:r>
    </w:p>
    <w:tbl>
      <w:tblPr>
        <w:tblW w:w="6287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6"/>
        <w:gridCol w:w="994"/>
        <w:gridCol w:w="1469"/>
        <w:gridCol w:w="2208"/>
      </w:tblGrid>
      <w:tr>
        <w:trPr/>
        <w:tc>
          <w:tcPr>
            <w:tcW w:w="1616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Establecimiento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Dirección</w:t>
            </w:r>
          </w:p>
        </w:tc>
        <w:tc>
          <w:tcPr>
            <w:tcW w:w="1469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Superficie (m²)</w:t>
            </w:r>
          </w:p>
        </w:tc>
        <w:tc>
          <w:tcPr>
            <w:tcW w:w="2208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Comunidad autónoma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46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2208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46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2208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BodyText"/>
        <w:bidi w:val="0"/>
        <w:jc w:val="left"/>
        <w:rPr/>
      </w:pPr>
      <w:r>
        <w:rPr/>
        <w:t>La empresa no es microempresa ([n.º] personas en plantilla; cifra de negocios [ ] €) y [el establecimiento supera / la suma de los establecimientos con el mismo NIF supera] los 1.300 m² (art. 6.4.c y 6.6). [Si operas en varias comunidades: este es un plan integrado conjunto y recoge además los requisitos de las normas autonómicas de: …]</w:t>
      </w:r>
    </w:p>
    <w:p>
      <w:pPr>
        <w:pStyle w:val="Heading2"/>
        <w:bidi w:val="0"/>
        <w:jc w:val="left"/>
        <w:rPr/>
      </w:pPr>
      <w:r>
        <w:rPr/>
        <w:t>2. Responsable</w:t>
      </w:r>
    </w:p>
    <w:p>
      <w:pPr>
        <w:pStyle w:val="BodyText"/>
        <w:bidi w:val="0"/>
        <w:jc w:val="left"/>
        <w:rPr/>
      </w:pPr>
      <w:r>
        <w:rPr/>
        <w:t>Responsable del plan: [nombre, cargo]. Participan: [jefe/a de cocina, F&amp;B, compras, sala]. El plan se revisa cada año y cuando cambie la actividad (nueva carta, bufé, eventos).</w:t>
      </w:r>
    </w:p>
    <w:p>
      <w:pPr>
        <w:pStyle w:val="Heading2"/>
        <w:bidi w:val="0"/>
        <w:jc w:val="left"/>
        <w:rPr/>
      </w:pPr>
      <w:r>
        <w:rPr/>
        <w:t>3. Diagnóstico: dónde se pierden alimentos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36"/>
        <w:gridCol w:w="2829"/>
        <w:gridCol w:w="2895"/>
        <w:gridCol w:w="2679"/>
      </w:tblGrid>
      <w:tr>
        <w:trPr/>
        <w:tc>
          <w:tcPr>
            <w:tcW w:w="2936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Fase</w:t>
            </w:r>
          </w:p>
        </w:tc>
        <w:tc>
          <w:tcPr>
            <w:tcW w:w="2829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Qué se pierde</w:t>
            </w:r>
          </w:p>
        </w:tc>
        <w:tc>
          <w:tcPr>
            <w:tcW w:w="2895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Causa principal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Kg al mes (estimado o medido)</w:t>
            </w:r>
          </w:p>
        </w:tc>
      </w:tr>
      <w:tr>
        <w:trPr/>
        <w:tc>
          <w:tcPr>
            <w:tcW w:w="2936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Compras y recepción</w:t>
            </w:r>
          </w:p>
        </w:tc>
        <w:tc>
          <w:tcPr>
            <w:tcW w:w="282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[producto dañado, caducidad corta]</w:t>
            </w:r>
          </w:p>
        </w:tc>
        <w:tc>
          <w:tcPr>
            <w:tcW w:w="2895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[pedidos por encima de lo necesario]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936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Conservación (cámaras y despensa)</w:t>
            </w:r>
          </w:p>
        </w:tc>
        <w:tc>
          <w:tcPr>
            <w:tcW w:w="282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[caducados, roturas de frío]</w:t>
            </w:r>
          </w:p>
        </w:tc>
        <w:tc>
          <w:tcPr>
            <w:tcW w:w="2895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[rotación, etiquetado]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936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Elaboración</w:t>
            </w:r>
          </w:p>
        </w:tc>
        <w:tc>
          <w:tcPr>
            <w:tcW w:w="282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[recortes, sobreproducción]</w:t>
            </w:r>
          </w:p>
        </w:tc>
        <w:tc>
          <w:tcPr>
            <w:tcW w:w="2895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[previsión de cubiertos]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936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Bufé y eventos</w:t>
            </w:r>
          </w:p>
        </w:tc>
        <w:tc>
          <w:tcPr>
            <w:tcW w:w="282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[sobrante expuesto]</w:t>
            </w:r>
          </w:p>
        </w:tc>
        <w:tc>
          <w:tcPr>
            <w:tcW w:w="2895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[reposición, tamaño de bandejas]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936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Sala (restos del plato)</w:t>
            </w:r>
          </w:p>
        </w:tc>
        <w:tc>
          <w:tcPr>
            <w:tcW w:w="282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[guarniciones, pan]</w:t>
            </w:r>
          </w:p>
        </w:tc>
        <w:tc>
          <w:tcPr>
            <w:tcW w:w="2895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[raciones]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Cuerpodetextonota"/>
        <w:bidi w:val="0"/>
        <w:jc w:val="left"/>
        <w:rPr/>
      </w:pPr>
      <w:r>
        <w:rPr/>
        <w:t>Mide al menos 2 semanas con la hoja de registro del anexo 1 antes de cerrar el plan: con datos propios las medidas y los objetivos se sostienen ante una inspección.</w:t>
      </w:r>
    </w:p>
    <w:p>
      <w:pPr>
        <w:pStyle w:val="Heading2"/>
        <w:bidi w:val="0"/>
        <w:jc w:val="left"/>
        <w:rPr/>
      </w:pPr>
      <w:r>
        <w:rPr/>
        <w:t>4. Medidas según la jerarquía de prioridades (art. 5)</w:t>
      </w:r>
    </w:p>
    <w:p>
      <w:pPr>
        <w:pStyle w:val="BodyText"/>
        <w:bidi w:val="0"/>
        <w:jc w:val="left"/>
        <w:rPr/>
      </w:pPr>
      <w:r>
        <w:rPr>
          <w:b/>
        </w:rPr>
        <w:t>a) Prevención.</w:t>
      </w:r>
      <w:r>
        <w:rPr/>
        <w:t xml:space="preserve"> [Previsión de cubiertos con reservas e histórico; pedidos ajustados; primero en entrar, primero en salir y etiquetado con fecha; raciones ajustadas y opción de media ración; menú del día con producto de temporada; bufé con bandejas pequeñas y reposición frecuente al final del servicio; pan a demanda.]</w:t>
      </w:r>
    </w:p>
    <w:p>
      <w:pPr>
        <w:pStyle w:val="BodyText"/>
        <w:bidi w:val="0"/>
        <w:jc w:val="left"/>
        <w:rPr/>
      </w:pPr>
      <w:r>
        <w:rPr>
          <w:b/>
        </w:rPr>
        <w:t>b) Transformación para consumo humano.</w:t>
      </w:r>
      <w:r>
        <w:rPr/>
        <w:t xml:space="preserve"> [Reaprovechamiento en la propia cocina de lo que es apto: fondos, cremas, croquetas, menú del personal, conforme al sistema APPCC.]</w:t>
      </w:r>
    </w:p>
    <w:p>
      <w:pPr>
        <w:pStyle w:val="BodyText"/>
        <w:bidi w:val="0"/>
        <w:jc w:val="left"/>
        <w:rPr/>
      </w:pPr>
      <w:r>
        <w:rPr>
          <w:b/>
        </w:rPr>
        <w:t>c) Donación.</w:t>
      </w:r>
      <w:r>
        <w:rPr/>
        <w:t xml:space="preserve"> [Convenio con: banco de alimentos o entidad social …, para los excedentes aptos (anexo 2). Qué se dona, con qué frecuencia y cómo se conserva hasta la entrega.] Si la donación no es viable, se justifica aquí por escrito (art. 5.2): [motivo: volúmenes mínimos, falta de entidad receptora en la zona, seguridad alimentaria del producto…].</w:t>
      </w:r>
    </w:p>
    <w:p>
      <w:pPr>
        <w:pStyle w:val="BodyText"/>
        <w:bidi w:val="0"/>
        <w:jc w:val="left"/>
        <w:rPr/>
      </w:pPr>
      <w:r>
        <w:rPr>
          <w:b/>
        </w:rPr>
        <w:t>d) Alimentación animal.</w:t>
      </w:r>
      <w:r>
        <w:rPr/>
        <w:t xml:space="preserve"> [Solo subproductos autorizados y con gestor o destinatario autorizado; si no aplica, indicarlo.]</w:t>
      </w:r>
    </w:p>
    <w:p>
      <w:pPr>
        <w:pStyle w:val="BodyText"/>
        <w:bidi w:val="0"/>
        <w:jc w:val="left"/>
        <w:rPr/>
      </w:pPr>
      <w:r>
        <w:rPr>
          <w:b/>
        </w:rPr>
        <w:t>e) Uso industrial y f) reciclado.</w:t>
      </w:r>
      <w:r>
        <w:rPr/>
        <w:t xml:space="preserve"> [Aceite usado a gestor autorizado; fracción orgánica separada para compostaje o biogás con el servicio municipal o un gestor.]</w:t>
      </w:r>
    </w:p>
    <w:p>
      <w:pPr>
        <w:pStyle w:val="BodyText"/>
        <w:bidi w:val="0"/>
        <w:jc w:val="left"/>
        <w:rPr/>
      </w:pPr>
      <w:r>
        <w:rPr>
          <w:b/>
        </w:rPr>
        <w:t>g) Eliminación.</w:t>
      </w:r>
      <w:r>
        <w:rPr/>
        <w:t xml:space="preserve"> Solo lo que no admite ninguna de las opciones anteriores.</w:t>
      </w:r>
    </w:p>
    <w:p>
      <w:pPr>
        <w:pStyle w:val="Heading2"/>
        <w:bidi w:val="0"/>
        <w:jc w:val="left"/>
        <w:rPr/>
      </w:pPr>
      <w:r>
        <w:rPr/>
        <w:t>5. Lo que el cliente puede llevarse (art. 8)</w:t>
      </w:r>
    </w:p>
    <w:p>
      <w:pPr>
        <w:pStyle w:val="BodyText"/>
        <w:bidi w:val="0"/>
        <w:jc w:val="left"/>
        <w:rPr/>
      </w:pPr>
      <w:r>
        <w:rPr/>
        <w:t>El cliente puede llevarse sin coste adicional los alimentos que no haya consumido (salvo en el bufé libre), en envases aptos para uso alimentario, reutilizables o fácilmente reciclables. Lo informamos en la carta y con un cartel visible: «[¿No te lo terminas? Pídenos un envase y llévatelo sin coste adicional]».</w:t>
      </w:r>
    </w:p>
    <w:p>
      <w:pPr>
        <w:pStyle w:val="Heading2"/>
        <w:bidi w:val="0"/>
        <w:jc w:val="left"/>
        <w:rPr/>
      </w:pPr>
      <w:r>
        <w:rPr/>
        <w:t>6. Formación y sensibilización</w:t>
      </w:r>
    </w:p>
    <w:p>
      <w:pPr>
        <w:pStyle w:val="BodyText"/>
        <w:bidi w:val="0"/>
        <w:jc w:val="left"/>
        <w:rPr/>
      </w:pPr>
      <w:r>
        <w:rPr/>
        <w:t>[Sesión anual de [1] h para cocina y sala sobre el plan, la hoja de registro y la donación; mensaje a clientes en la carta o en el bufé.]</w:t>
      </w:r>
    </w:p>
    <w:p>
      <w:pPr>
        <w:pStyle w:val="Heading2"/>
        <w:bidi w:val="0"/>
        <w:jc w:val="left"/>
        <w:rPr/>
      </w:pPr>
      <w:r>
        <w:rPr/>
        <w:t>7. Indicadores y objetivos</w:t>
      </w:r>
    </w:p>
    <w:tbl>
      <w:tblPr>
        <w:tblW w:w="844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41"/>
        <w:gridCol w:w="1578"/>
        <w:gridCol w:w="2024"/>
      </w:tblGrid>
      <w:tr>
        <w:trPr/>
        <w:tc>
          <w:tcPr>
            <w:tcW w:w="4841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Indicador</w:t>
            </w:r>
          </w:p>
        </w:tc>
        <w:tc>
          <w:tcPr>
            <w:tcW w:w="1578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Valor de partida</w:t>
            </w:r>
          </w:p>
        </w:tc>
        <w:tc>
          <w:tcPr>
            <w:tcW w:w="2024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Objetivo a 12 meses</w:t>
            </w:r>
          </w:p>
        </w:tc>
      </w:tr>
      <w:tr>
        <w:trPr/>
        <w:tc>
          <w:tcPr>
            <w:tcW w:w="4841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Kg de desperdicio por cubierto o por pensión completa</w:t>
            </w:r>
          </w:p>
        </w:tc>
        <w:tc>
          <w:tcPr>
            <w:tcW w:w="1578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2024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[−20 %]</w:t>
            </w:r>
          </w:p>
        </w:tc>
      </w:tr>
      <w:tr>
        <w:trPr/>
        <w:tc>
          <w:tcPr>
            <w:tcW w:w="4841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Kg donados al año</w:t>
            </w:r>
          </w:p>
        </w:tc>
        <w:tc>
          <w:tcPr>
            <w:tcW w:w="1578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2024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4841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% de orgánica separada</w:t>
            </w:r>
          </w:p>
        </w:tc>
        <w:tc>
          <w:tcPr>
            <w:tcW w:w="1578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2024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/>
      </w:pPr>
      <w:r>
        <w:rPr/>
        <w:t>8. Registros que se guardan</w:t>
      </w:r>
    </w:p>
    <w:p>
      <w:pPr>
        <w:pStyle w:val="BodyText"/>
        <w:bidi w:val="0"/>
        <w:jc w:val="left"/>
        <w:rPr/>
      </w:pPr>
      <w:r>
        <w:rPr/>
        <w:t>Hojas de registro de mermas, albaranes o justificantes de donación, certificados de gestores, actas de formación y revisiones de este plan. Se conservan [3] años.</w:t>
      </w:r>
    </w:p>
    <w:p>
      <w:pPr>
        <w:pStyle w:val="Heading2"/>
        <w:bidi w:val="0"/>
        <w:jc w:val="left"/>
        <w:rPr/>
      </w:pPr>
      <w:r>
        <w:rPr/>
        <w:t>Anexo 1 · Hoja de registro de mermas</w:t>
      </w:r>
    </w:p>
    <w:tbl>
      <w:tblPr>
        <w:tblW w:w="608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84"/>
        <w:gridCol w:w="550"/>
        <w:gridCol w:w="940"/>
        <w:gridCol w:w="365"/>
        <w:gridCol w:w="691"/>
        <w:gridCol w:w="2173"/>
        <w:gridCol w:w="682"/>
      </w:tblGrid>
      <w:tr>
        <w:trPr/>
        <w:tc>
          <w:tcPr>
            <w:tcW w:w="684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Fecha</w:t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Fase</w:t>
            </w:r>
          </w:p>
        </w:tc>
        <w:tc>
          <w:tcPr>
            <w:tcW w:w="940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Alimento</w:t>
            </w:r>
          </w:p>
        </w:tc>
        <w:tc>
          <w:tcPr>
            <w:tcW w:w="365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Kg</w:t>
            </w:r>
          </w:p>
        </w:tc>
        <w:tc>
          <w:tcPr>
            <w:tcW w:w="691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Causa</w:t>
            </w:r>
          </w:p>
        </w:tc>
        <w:tc>
          <w:tcPr>
            <w:tcW w:w="2173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Destino (jerarquía a-g)</w:t>
            </w:r>
          </w:p>
        </w:tc>
        <w:tc>
          <w:tcPr>
            <w:tcW w:w="682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Firma</w:t>
            </w:r>
          </w:p>
        </w:tc>
      </w:tr>
      <w:tr>
        <w:trPr/>
        <w:tc>
          <w:tcPr>
            <w:tcW w:w="684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40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5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91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173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82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84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40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5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91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173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82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Anexo 2 · Contenido mínimo del convenio de donación (art. 7)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Condiciones de la recogida, el traslado y la conservación de los productos.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Compromisos de cada parte.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La selección de los alimentos que se donan la hace la empresa donante.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La entidad receptora puede rechazar la donación justificándolo; lo rechazado se gestiona con la jerarquía del art. 5.1. Las condiciones de devolución las decide la empresa donante.</w:t>
      </w:r>
    </w:p>
    <w:p>
      <w:pPr>
        <w:pStyle w:val="BodyText"/>
        <w:bidi w:val="0"/>
        <w:spacing w:before="0" w:after="283"/>
        <w:jc w:val="left"/>
        <w:rPr/>
      </w:pPr>
      <w:r>
        <w:rPr/>
        <w:t>Ninguna cláusula de un contrato puede impedir donar alimentos: sería nula (art. 6.3).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Arial" w:hAnsi="Arial" w:eastAsia="Arial" w:cs="Arial"/>
      <w:color w:val="auto"/>
      <w:sz w:val="21"/>
      <w:szCs w:val="21"/>
      <w:lang w:val="es-ES" w:eastAsia="zh-CN" w:bidi="hi-IN"/>
    </w:rPr>
  </w:style>
  <w:style w:type="paragraph" w:styleId="Heading1">
    <w:name w:val="heading 1"/>
    <w:basedOn w:val="Ttulo"/>
    <w:next w:val="BodyText"/>
    <w:qFormat/>
    <w:pPr/>
    <w:rPr>
      <w:b/>
      <w:bCs/>
      <w:sz w:val="34"/>
      <w:szCs w:val="34"/>
    </w:rPr>
  </w:style>
  <w:style w:type="paragraph" w:styleId="Heading2">
    <w:name w:val="heading 2"/>
    <w:basedOn w:val="Ttulo"/>
    <w:next w:val="BodyText"/>
    <w:qFormat/>
    <w:pPr>
      <w:pBdr>
        <w:bottom w:val="single" w:sz="2" w:space="1" w:color="999999"/>
      </w:pBdr>
      <w:spacing w:before="320" w:after="120"/>
      <w:outlineLvl w:val="1"/>
    </w:pPr>
    <w:rPr>
      <w:rFonts w:ascii="Liberation Serif" w:hAnsi="Liberation Serif" w:eastAsia="Noto Serif CJK SC" w:cs="Noto Sans Devanagari"/>
      <w:b/>
      <w:bCs/>
      <w:sz w:val="25"/>
      <w:szCs w:val="25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/>
  </w:style>
  <w:style w:type="character" w:styleId="Caracteresdenotaalpie">
    <w:name w:val="Caracteres de nota al pie"/>
    <w:qFormat/>
    <w:rPr/>
  </w:style>
  <w:style w:type="character" w:styleId="Hyperlink">
    <w:name w:val="Hyperlink"/>
    <w:rPr>
      <w:color w:val="000080"/>
      <w:u w:val="single"/>
    </w:rPr>
  </w:style>
  <w:style w:type="character" w:styleId="Smbolosdenumeracin">
    <w:name w:val="Símbolos de numeración"/>
    <w:qFormat/>
    <w:rPr/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BodyText"/>
    <w:qFormat/>
    <w:pPr/>
    <w:rPr>
      <w:sz w:val="19"/>
      <w:szCs w:val="19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Cuerpodetextonota">
    <w:name w:val="Cuerpo de texto.nota"/>
    <w:basedOn w:val="BodyText"/>
    <w:qFormat/>
    <w:pPr/>
    <w:rPr>
      <w:i/>
      <w:iCs/>
      <w:color w:val="555555"/>
      <w:sz w:val="18"/>
      <w:szCs w:val="18"/>
    </w:rPr>
  </w:style>
  <w:style w:type="paragraph" w:styleId="Ttulodelatabla">
    <w:name w:val="Título de la tabla"/>
    <w:basedOn w:val="Contenidodelatabla"/>
    <w:qFormat/>
    <w:pPr>
      <w:suppressLineNumbers/>
      <w:shd w:fill="EEEEEE" w:val="clear"/>
      <w:jc w:val="center"/>
    </w:pPr>
    <w:rPr>
      <w:b/>
      <w:bCs/>
      <w:sz w:val="19"/>
      <w:szCs w:val="19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