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Política de uso de la inteligencia artificial de [Empresa]</w:t>
      </w:r>
    </w:p>
    <w:p>
      <w:pPr>
        <w:pStyle w:val="BodyText"/>
        <w:bidi w:val="0"/>
        <w:jc w:val="left"/>
        <w:rPr/>
      </w:pPr>
      <w:r>
        <w:rPr/>
        <w:t>Modelo de CIRAMEVA Formación · cirameva.com/formacion/politica-de-uso-de-ia/ · Rellena lo que va entre corchetes. Modelo orientativo; CIRAMEVA no es un despacho de abogados.</w:t>
      </w:r>
    </w:p>
    <w:p>
      <w:pPr>
        <w:pStyle w:val="Heading3"/>
        <w:bidi w:val="0"/>
        <w:jc w:val="left"/>
        <w:rPr/>
      </w:pPr>
      <w:r>
        <w:rPr/>
        <w:t>1. Objeto y alcance</w:t>
      </w:r>
    </w:p>
    <w:p>
      <w:pPr>
        <w:pStyle w:val="BodyText"/>
        <w:bidi w:val="0"/>
        <w:jc w:val="left"/>
        <w:rPr/>
      </w:pPr>
      <w:r>
        <w:rPr/>
        <w:t>Esta política fija cómo usa [Empresa] las herramientas de inteligencia artificial (IA) en su trabajo. Se aplica a toda la plantilla, a las personas en prácticas y a quien trabaje en nombre de [Empresa] con sistemas de IA.</w:t>
      </w:r>
    </w:p>
    <w:p>
      <w:pPr>
        <w:pStyle w:val="Heading3"/>
        <w:bidi w:val="0"/>
        <w:jc w:val="left"/>
        <w:rPr/>
      </w:pPr>
      <w:r>
        <w:rPr/>
        <w:t>2. Herramientas autorizadas</w:t>
      </w:r>
    </w:p>
    <w:p>
      <w:pPr>
        <w:pStyle w:val="BodyText"/>
        <w:bidi w:val="0"/>
        <w:jc w:val="left"/>
        <w:rPr/>
      </w:pPr>
      <w:r>
        <w:rPr/>
        <w:t>Solo se usan las herramientas de esta lista, con la cuenta de empresa cuando exista: [herramienta 1 · para qué · cuenta de empresa sí/no] · [herramienta 2 · …]. Para usar otra, se pide antes a [responsable].</w:t>
      </w:r>
    </w:p>
    <w:p>
      <w:pPr>
        <w:pStyle w:val="Heading3"/>
        <w:bidi w:val="0"/>
        <w:jc w:val="left"/>
        <w:rPr/>
      </w:pPr>
      <w:r>
        <w:rPr/>
        <w:t>3. Datos que nunca se introducen</w:t>
      </w:r>
    </w:p>
    <w:p>
      <w:pPr>
        <w:pStyle w:val="BodyText"/>
        <w:bidi w:val="0"/>
        <w:jc w:val="left"/>
        <w:rPr/>
      </w:pPr>
      <w:r>
        <w:rPr/>
        <w:t>Datos personales de clientes, de la plantilla o de terceros; datos de salud; contraseñas y claves; información confidencial o protegida por contrato; documentos internos marcados como reservados. Si una tarea los necesita, se anonimizan antes o no se usa IA.</w:t>
      </w:r>
    </w:p>
    <w:p>
      <w:pPr>
        <w:pStyle w:val="Heading3"/>
        <w:bidi w:val="0"/>
        <w:jc w:val="left"/>
        <w:rPr/>
      </w:pPr>
      <w:r>
        <w:rPr/>
        <w:t>4. Revisión humana</w:t>
      </w:r>
    </w:p>
    <w:p>
      <w:pPr>
        <w:pStyle w:val="BodyText"/>
        <w:bidi w:val="0"/>
        <w:jc w:val="left"/>
        <w:rPr/>
      </w:pPr>
      <w:r>
        <w:rPr/>
        <w:t>Todo resultado de IA que salga de la empresa (correo, oferta, informe, código, traducción) lo revisa una persona, que responde de él. La IA no toma decisiones sobre personas (selección, evaluación, despido) sin revisión humana completa.</w:t>
      </w:r>
    </w:p>
    <w:p>
      <w:pPr>
        <w:pStyle w:val="Heading3"/>
        <w:bidi w:val="0"/>
        <w:jc w:val="left"/>
        <w:rPr/>
      </w:pPr>
      <w:r>
        <w:rPr/>
        <w:t>5. Transparencia</w:t>
      </w:r>
    </w:p>
    <w:p>
      <w:pPr>
        <w:pStyle w:val="BodyText"/>
        <w:bidi w:val="0"/>
        <w:jc w:val="left"/>
        <w:rPr/>
      </w:pPr>
      <w:r>
        <w:rPr/>
        <w:t>Se indica que un contenido se ha generado con IA cuando lo pida la ley, el cliente o el contrato. Las imágenes, audios o vídeos generados o manipulados con IA que parezcan reales se marcan como tales.</w:t>
      </w:r>
    </w:p>
    <w:p>
      <w:pPr>
        <w:pStyle w:val="Heading3"/>
        <w:bidi w:val="0"/>
        <w:jc w:val="left"/>
        <w:rPr/>
      </w:pPr>
      <w:r>
        <w:rPr/>
        <w:t>6. Propiedad intelectual</w:t>
      </w:r>
    </w:p>
    <w:p>
      <w:pPr>
        <w:pStyle w:val="BodyText"/>
        <w:bidi w:val="0"/>
        <w:jc w:val="left"/>
        <w:rPr/>
      </w:pPr>
      <w:r>
        <w:rPr/>
        <w:t>No se introducen textos, imágenes o código de terceros sin derecho a usarlos. Antes de publicar o vender un resultado de IA, se comprueba que no copia obras protegidas.</w:t>
      </w:r>
    </w:p>
    <w:p>
      <w:pPr>
        <w:pStyle w:val="Heading3"/>
        <w:bidi w:val="0"/>
        <w:jc w:val="left"/>
        <w:rPr/>
      </w:pPr>
      <w:r>
        <w:rPr/>
        <w:t>7. Usos prohibidos</w:t>
      </w:r>
    </w:p>
    <w:p>
      <w:pPr>
        <w:pStyle w:val="BodyText"/>
        <w:bidi w:val="0"/>
        <w:jc w:val="left"/>
        <w:rPr/>
      </w:pPr>
      <w:r>
        <w:rPr/>
        <w:t>Los del artículo 5 del Reglamento europeo de IA (manipulación, puntuación social, reconocimiento de emociones en el trabajo, entre otros) y cualquier uso contrario a la ley o a esta política.</w:t>
      </w:r>
    </w:p>
    <w:p>
      <w:pPr>
        <w:pStyle w:val="Heading3"/>
        <w:bidi w:val="0"/>
        <w:jc w:val="left"/>
        <w:rPr/>
      </w:pPr>
      <w:r>
        <w:rPr/>
        <w:t>8. Formación (alfabetización en IA)</w:t>
      </w:r>
    </w:p>
    <w:p>
      <w:pPr>
        <w:pStyle w:val="BodyText"/>
        <w:bidi w:val="0"/>
        <w:jc w:val="left"/>
        <w:rPr/>
      </w:pPr>
      <w:r>
        <w:rPr/>
        <w:t>[Empresa] forma a quien usa IA en su nombre según su puesto y las herramientas que usa (artículo 4 del Reglamento de IA). Cada formación se anota en el registro del anexo.</w:t>
      </w:r>
    </w:p>
    <w:p>
      <w:pPr>
        <w:pStyle w:val="Heading3"/>
        <w:bidi w:val="0"/>
        <w:jc w:val="left"/>
        <w:rPr/>
      </w:pPr>
      <w:r>
        <w:rPr/>
        <w:t>9. Incidencias</w:t>
      </w:r>
    </w:p>
    <w:p>
      <w:pPr>
        <w:pStyle w:val="BodyText"/>
        <w:bidi w:val="0"/>
        <w:jc w:val="left"/>
        <w:rPr/>
      </w:pPr>
      <w:r>
        <w:rPr/>
        <w:t>Un error grave, una fuga de datos o un resultado discriminatorio se comunica en el día a [responsable] en [correo].</w:t>
      </w:r>
    </w:p>
    <w:p>
      <w:pPr>
        <w:pStyle w:val="Heading3"/>
        <w:bidi w:val="0"/>
        <w:jc w:val="left"/>
        <w:rPr/>
      </w:pPr>
      <w:r>
        <w:rPr/>
        <w:t>10. Revisión</w:t>
      </w:r>
    </w:p>
    <w:p>
      <w:pPr>
        <w:pStyle w:val="BodyText"/>
        <w:bidi w:val="0"/>
        <w:jc w:val="left"/>
        <w:rPr/>
      </w:pPr>
      <w:r>
        <w:rPr/>
        <w:t>Esta política la revisa [responsable] cada [12] meses o cuando cambien las herramientas o la ley. Versión [1.0] de [fecha].</w:t>
      </w:r>
    </w:p>
    <w:p>
      <w:pPr>
        <w:pStyle w:val="BodyText"/>
        <w:bidi w:val="0"/>
        <w:jc w:val="left"/>
        <w:rPr/>
      </w:pPr>
      <w:r>
        <w:rPr/>
        <w:t>Recibí la política: [nombre] · [fecha] · [firma]</w:t>
      </w:r>
      <w:r>
        <w:br w:type="page"/>
      </w:r>
    </w:p>
    <w:p>
      <w:pPr>
        <w:pStyle w:val="Heading2"/>
        <w:bidi w:val="0"/>
        <w:ind w:hanging="0" w:left="0" w:right="0"/>
        <w:jc w:val="left"/>
        <w:rPr/>
      </w:pPr>
      <w:r>
        <w:rPr/>
        <w:t>Anexo. Registro de formación en IA (artículo 4 del Reglamento europeo de IA)</w:t>
      </w:r>
    </w:p>
    <w:tbl>
      <w:tblPr>
        <w:tblW w:w="7476" w:type="dxa"/>
        <w:jc w:val="left"/>
        <w:tblInd w:w="60" w:type="dxa"/>
        <w:tblLayout w:type="fixed"/>
        <w:tblCellMar>
          <w:top w:w="60" w:type="dxa"/>
          <w:left w:w="60" w:type="dxa"/>
          <w:bottom w:w="60" w:type="dxa"/>
          <w:right w:w="60" w:type="dxa"/>
        </w:tblCellMar>
      </w:tblPr>
      <w:tblGrid>
        <w:gridCol w:w="1008"/>
        <w:gridCol w:w="856"/>
        <w:gridCol w:w="1544"/>
        <w:gridCol w:w="1256"/>
        <w:gridCol w:w="756"/>
        <w:gridCol w:w="1293"/>
        <w:gridCol w:w="763"/>
      </w:tblGrid>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Ttulodelatabla"/>
              <w:bidi w:val="0"/>
              <w:spacing w:before="0" w:after="283"/>
              <w:ind w:hanging="0" w:left="0" w:right="0"/>
              <w:rPr/>
            </w:pPr>
            <w:r>
              <w:rPr/>
              <w:t>Persona</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Ttulodelatabla"/>
              <w:bidi w:val="0"/>
              <w:spacing w:before="0" w:after="283"/>
              <w:ind w:hanging="0" w:left="0" w:right="0"/>
              <w:rPr/>
            </w:pPr>
            <w:r>
              <w:rPr/>
              <w:t>Puesto</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Ttulodelatabla"/>
              <w:bidi w:val="0"/>
              <w:spacing w:before="0" w:after="283"/>
              <w:ind w:hanging="0" w:left="0" w:right="0"/>
              <w:rPr/>
            </w:pPr>
            <w:r>
              <w:rPr/>
              <w:t>Herramientas de IA que usa</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Ttulodelatabla"/>
              <w:bidi w:val="0"/>
              <w:spacing w:before="0" w:after="283"/>
              <w:ind w:hanging="0" w:left="0" w:right="0"/>
              <w:rPr/>
            </w:pPr>
            <w:r>
              <w:rPr/>
              <w:t>Formación recibida (título y horas)</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Ttulodelatabla"/>
              <w:bidi w:val="0"/>
              <w:spacing w:before="0" w:after="283"/>
              <w:ind w:hanging="0" w:left="0" w:right="0"/>
              <w:rPr/>
            </w:pPr>
            <w:r>
              <w:rPr/>
              <w:t>Fecha</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Ttulodelatabla"/>
              <w:bidi w:val="0"/>
              <w:spacing w:before="0" w:after="283"/>
              <w:ind w:hanging="0" w:left="0" w:right="0"/>
              <w:rPr/>
            </w:pPr>
            <w:r>
              <w:rPr/>
              <w:t>Evaluación (apto / nota)</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Ttulodelatabla"/>
              <w:bidi w:val="0"/>
              <w:spacing w:before="0" w:after="283"/>
              <w:ind w:hanging="0" w:left="0" w:right="0"/>
              <w:rPr/>
            </w:pPr>
            <w:r>
              <w:rPr/>
              <w:t>Firma</w:t>
            </w:r>
          </w:p>
        </w:tc>
      </w:tr>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r>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r>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r>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r>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r>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r>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r>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r>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r>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r>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r>
      <w:tr>
        <w:trPr/>
        <w:tc>
          <w:tcPr>
            <w:tcW w:w="1008"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8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544"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56"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129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ind w:hanging="0" w:left="0" w:right="0"/>
              <w:jc w:val="left"/>
              <w:rPr/>
            </w:pPr>
            <w:r>
              <w:rPr/>
              <w:t> </w:t>
            </w:r>
          </w:p>
        </w:tc>
        <w:tc>
          <w:tcPr>
            <w:tcW w:w="763" w:type="dxa"/>
            <w:tcBorders>
              <w:top w:val="single" w:sz="2" w:space="0" w:color="999999"/>
              <w:left w:val="single" w:sz="2" w:space="0" w:color="999999"/>
              <w:bottom w:val="single" w:sz="2" w:space="0" w:color="999999"/>
              <w:right w:val="single" w:sz="2" w:space="0" w:color="999999"/>
            </w:tcBorders>
            <w:vAlign w:val="center"/>
          </w:tcPr>
          <w:p>
            <w:pPr>
              <w:pStyle w:val="Contenidodelatabla"/>
              <w:bidi w:val="0"/>
              <w:spacing w:before="0" w:after="283"/>
              <w:jc w:val="left"/>
              <w:rPr/>
            </w:pPr>
            <w:r>
              <w:rPr/>
              <w:t> </w:t>
            </w:r>
          </w:p>
        </w:tc>
      </w:tr>
    </w:tbl>
    <w:p>
      <w:pPr>
        <w:pStyle w:val="BodyText"/>
        <w:bidi w:val="0"/>
        <w:spacing w:before="0" w:after="283"/>
        <w:jc w:val="left"/>
        <w:rPr/>
      </w:pPr>
      <w:r>
        <w:rPr/>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s-ES" w:eastAsia="zh-CN" w:bidi="hi-IN"/>
      </w:rPr>
    </w:rPrDefault>
    <w:pPrDefault>
      <w:pPr>
        <w:suppressAutoHyphens w:val="true"/>
      </w:pPr>
    </w:pPrDefault>
  </w:docDefaults>
  <w:style w:type="paragraph" w:styleId="Normal">
    <w:name w:val="Normal"/>
    <w:qFormat/>
    <w:pPr>
      <w:widowControl w:val="false"/>
      <w:bidi w:val="0"/>
    </w:pPr>
    <w:rPr>
      <w:rFonts w:ascii="Arial" w:hAnsi="Arial" w:eastAsia="Arial" w:cs="Arial"/>
      <w:color w:val="auto"/>
      <w:sz w:val="22"/>
      <w:szCs w:val="22"/>
      <w:lang w:val="es-ES" w:eastAsia="zh-CN" w:bidi="hi-IN"/>
    </w:rPr>
  </w:style>
  <w:style w:type="paragraph" w:styleId="Heading1">
    <w:name w:val="heading 1"/>
    <w:basedOn w:val="Ttulo"/>
    <w:next w:val="BodyText"/>
    <w:qFormat/>
    <w:pPr/>
    <w:rPr>
      <w:b/>
      <w:bCs/>
      <w:sz w:val="30"/>
      <w:szCs w:val="30"/>
    </w:rPr>
  </w:style>
  <w:style w:type="paragraph" w:styleId="Heading2">
    <w:name w:val="heading 2"/>
    <w:basedOn w:val="Ttulo"/>
    <w:next w:val="BodyText"/>
    <w:qFormat/>
    <w:pPr>
      <w:spacing w:before="200" w:after="120"/>
      <w:outlineLvl w:val="1"/>
    </w:pPr>
    <w:rPr>
      <w:rFonts w:ascii="Liberation Serif" w:hAnsi="Liberation Serif" w:eastAsia="Noto Serif CJK SC" w:cs="Noto Sans Devanagari"/>
      <w:b/>
      <w:bCs/>
      <w:sz w:val="25"/>
      <w:szCs w:val="25"/>
    </w:rPr>
  </w:style>
  <w:style w:type="paragraph" w:styleId="Heading3">
    <w:name w:val="heading 3"/>
    <w:basedOn w:val="Ttulo"/>
    <w:next w:val="BodyText"/>
    <w:qFormat/>
    <w:pPr>
      <w:spacing w:before="140" w:after="120"/>
      <w:outlineLvl w:val="2"/>
    </w:pPr>
    <w:rPr>
      <w:rFonts w:ascii="Liberation Serif" w:hAnsi="Liberation Serif" w:eastAsia="Noto Serif CJK SC" w:cs="Noto Sans Devanagari"/>
      <w:b/>
      <w:bCs/>
      <w:sz w:val="22"/>
      <w:szCs w:val="22"/>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Caracteresdenotafinal">
    <w:name w:val="Caracteres de nota final"/>
    <w:qFormat/>
    <w:rPr/>
  </w:style>
  <w:style w:type="character" w:styleId="Caracteresdenotaalpie">
    <w:name w:val="Caracteres de nota al pie"/>
    <w:qFormat/>
    <w:rPr/>
  </w:style>
  <w:style w:type="character" w:styleId="Hyperlink">
    <w:name w:val="Hyperlink"/>
    <w:rPr>
      <w:color w:val="000080"/>
      <w:u w:val="single"/>
    </w:rPr>
  </w:style>
  <w:style w:type="paragraph" w:styleId="Lneahorizontal">
    <w:name w:val="Línea horizontal"/>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Contenidodelatabla">
    <w:name w:val="Contenido de la tabla"/>
    <w:basedOn w:val="BodyText"/>
    <w:qFormat/>
    <w:pPr/>
    <w:rPr/>
  </w:style>
  <w:style w:type="paragraph" w:styleId="ndice">
    <w:name w:val="Índice"/>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Ttulo">
    <w:name w:val="Título"/>
    <w:basedOn w:val="Normal"/>
    <w:next w:val="BodyText"/>
    <w:qFormat/>
    <w:pPr>
      <w:keepNext w:val="true"/>
      <w:spacing w:before="240" w:after="283"/>
    </w:pPr>
    <w:rPr>
      <w:rFonts w:ascii="Liberation Sans" w:hAnsi="Liberation Sans"/>
      <w:sz w:val="28"/>
      <w:szCs w:val="28"/>
    </w:rPr>
  </w:style>
  <w:style w:type="paragraph" w:styleId="Ttulodelatabla">
    <w:name w:val="Título de la tabla"/>
    <w:basedOn w:val="Contenidodelatabla"/>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LibreOffice/25.8.7.3$Linux_X86_64 LibreOffice_project/580$Build-3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es-ES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