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4"/>
        </w:rPr>
        <w:t>Contracte de lloguer d’habitatge habitual a Catalunya</w:t>
      </w:r>
    </w:p>
    <w:p>
      <w:pPr>
        <w:jc w:val="both"/>
      </w:pPr>
      <w:r>
        <w:rPr>
          <w:b/>
        </w:rPr>
        <w:t>Lloc i data:</w:t>
      </w:r>
      <w:r>
        <w:t xml:space="preserve"> [municipi, data].</w:t>
      </w:r>
    </w:p>
    <w:p>
      <w:pPr>
        <w:jc w:val="left"/>
      </w:pPr>
      <w:r>
        <w:rPr>
          <w:b/>
          <w:sz w:val="24"/>
        </w:rPr>
        <w:t>Parts, objecte i ús</w:t>
      </w:r>
    </w:p>
    <w:p>
      <w:pPr>
        <w:jc w:val="both"/>
      </w:pPr>
      <w:r>
        <w:t>[Arrendador, identificació, domicili i capacitat] i [arrendatari, identificació i domicili] acorden el lloguer de l’habitatge de [adreça, referència cadastral i annexos]. Es destina a residència habitual de [ocupants]. S’adjunten l’inventari, l’estat de conservació i la documentació exigible, inclosa la cèdula d’habitabilitat i el certificat energètic quan corresponguin.</w:t>
      </w:r>
    </w:p>
    <w:p>
      <w:pPr>
        <w:jc w:val="left"/>
      </w:pPr>
      <w:r>
        <w:rPr>
          <w:b/>
          <w:sz w:val="24"/>
        </w:rPr>
        <w:t>Durada i pròrrogues</w:t>
      </w:r>
    </w:p>
    <w:p>
      <w:pPr>
        <w:jc w:val="both"/>
      </w:pPr>
      <w:r>
        <w:t>El contracte comença el [data] i té una durada pactada de [durada]. Es respecten les pròrrogues obligatòries de la LAU fins a cinc anys si l’arrendador és persona física o set si és persona jurídica, i les pròrrogues posteriors o extraordinàries quan siguin aplicables. No s’hi incorporen renúncies als drets imperatius de l’arrendatari.</w:t>
      </w:r>
    </w:p>
    <w:p>
      <w:pPr>
        <w:jc w:val="left"/>
      </w:pPr>
      <w:r>
        <w:rPr>
          <w:b/>
          <w:sz w:val="24"/>
        </w:rPr>
        <w:t>Renda i zona tensionada</w:t>
      </w:r>
    </w:p>
    <w:p>
      <w:pPr>
        <w:jc w:val="both"/>
      </w:pPr>
      <w:r>
        <w:t>La renda mensual és de [import] €, pagadora a [compte i termini]. Abans de fixar-la s’ha comprovat:</w:t>
      </w:r>
    </w:p>
    <w:p>
      <w:pPr>
        <w:pStyle w:val="ListBullet"/>
      </w:pPr>
      <w:r>
        <w:t>Municipi i declaració de zona tensionada vigent: [dades o no aplicable].</w:t>
      </w:r>
    </w:p>
    <w:p>
      <w:pPr>
        <w:pStyle w:val="ListBullet"/>
      </w:pPr>
      <w:r>
        <w:t>Darrer contracte d’habitatge habitual dels últims cinc anys: [renda, data i actualitzacions acreditades, o inexistència].</w:t>
      </w:r>
    </w:p>
    <w:p>
      <w:pPr>
        <w:pStyle w:val="ListBullet"/>
      </w:pPr>
      <w:r>
        <w:t>Condició de gran tenidor segons la declaració aplicable: [dades].</w:t>
      </w:r>
    </w:p>
    <w:p>
      <w:pPr>
        <w:pStyle w:val="ListBullet"/>
      </w:pPr>
      <w:r>
        <w:t>Resultat del sistema estatal de preus de referència quan sigui aplicable: [límit i document].</w:t>
      </w:r>
    </w:p>
    <w:p>
      <w:pPr>
        <w:pStyle w:val="ListBullet"/>
      </w:pPr>
      <w:r>
        <w:t>Excepcions o increments legalment admissibles: [fonament i justificants, o cap].</w:t>
      </w:r>
    </w:p>
    <w:p>
      <w:pPr>
        <w:jc w:val="both"/>
      </w:pPr>
      <w:r>
        <w:t>La renda pactada no pot superar el límit que resulti dels articles 17.6 i 17.7 de la LAU quan siguin aplicables. Les noves despeses repercutides també s’han de revisar: no es poden utilitzar per eludir aquests límits.</w:t>
      </w:r>
    </w:p>
    <w:p>
      <w:pPr>
        <w:jc w:val="left"/>
      </w:pPr>
      <w:r>
        <w:rPr>
          <w:b/>
          <w:sz w:val="24"/>
        </w:rPr>
        <w:t>Actualització</w:t>
      </w:r>
    </w:p>
    <w:p>
      <w:pPr>
        <w:jc w:val="both"/>
      </w:pPr>
      <w:r>
        <w:t>[Pacte d’actualització, índex, data d’anualitat i comunicació, o absència de pacte]. Si hi ha pacte, es respecten l’article 18 de la LAU i els límits vigents que corresponguin a la data i al règim del contracte. L’índex de renda inicial en una zona tensionada no és l’índex d’actualització anual. No es presumeix una pujada automàtica només perquè s’hagi publicat un índex.</w:t>
      </w:r>
    </w:p>
    <w:p>
      <w:pPr>
        <w:jc w:val="left"/>
      </w:pPr>
      <w:r>
        <w:rPr>
          <w:b/>
          <w:sz w:val="24"/>
        </w:rPr>
        <w:t>Fiança i garanties</w:t>
      </w:r>
    </w:p>
    <w:p>
      <w:pPr>
        <w:jc w:val="both"/>
      </w:pPr>
      <w:r>
        <w:t>L’arrendatari lliura [import equivalent a una mensualitat] € com a fiança legal. L’arrendador la dipositarà a l’INCASÒL dins dels dos mesos següents a la formalització i en facilitarà el justificant. Garantia addicional: [import i forma, o cap], amb els límits de l’article 36.5 de la LAU quan siguin aplicables.</w:t>
      </w:r>
    </w:p>
    <w:p>
      <w:pPr>
        <w:jc w:val="both"/>
      </w:pPr>
      <w:r>
        <w:t>Al final del lloguer es liquidaran els imports justificats i es retornarà el saldo de la fiança. Si transcorre un mes des del lliurament de les claus sense devolució del saldo exigible, aquest merita interès legal segons l’article 36.4.</w:t>
      </w:r>
    </w:p>
    <w:p>
      <w:pPr>
        <w:jc w:val="left"/>
      </w:pPr>
      <w:r>
        <w:rPr>
          <w:b/>
          <w:sz w:val="24"/>
        </w:rPr>
        <w:t>Despeses, conservació i obres</w:t>
      </w:r>
    </w:p>
    <w:p>
      <w:pPr>
        <w:jc w:val="both"/>
      </w:pPr>
      <w:r>
        <w:t>Subministraments individualitzats: [pacte]. Despeses generals o tributs repercutibles: [pacte escrit, import anual i límits legals]. Les despeses de gestió immobiliària i formalització del contracte corresponen a l’arrendador. Es respecten els drets i obligacions sobre reparacions, petites reparacions i obres dels articles 21 a 24 de la LAU.</w:t>
      </w:r>
    </w:p>
    <w:p>
      <w:pPr>
        <w:jc w:val="left"/>
      </w:pPr>
      <w:r>
        <w:rPr>
          <w:b/>
          <w:sz w:val="24"/>
        </w:rPr>
        <w:t>Desistiment, lliurament i notificacions</w:t>
      </w:r>
    </w:p>
    <w:p>
      <w:pPr>
        <w:jc w:val="both"/>
      </w:pPr>
      <w:r>
        <w:t>Es respecta el desistiment de l’article 11 després de sis mesos amb preavís mínim de trenta dies. Indemnització només si s’ha pactat vàlidament: [clàusula o cap]. En sortir es documentaran les claus, els comptadors, l’estat de l’habitatge i la liquidació. Adreces de notificació: [dades].</w:t>
      </w:r>
    </w:p>
    <w:p>
      <w:pPr>
        <w:jc w:val="left"/>
      </w:pPr>
      <w:r>
        <w:rPr>
          <w:b/>
          <w:sz w:val="24"/>
        </w:rPr>
        <w:t>Annexos i signatures</w:t>
      </w:r>
    </w:p>
    <w:p>
      <w:pPr>
        <w:jc w:val="both"/>
      </w:pPr>
      <w:r>
        <w:t>Annexos: [inventari, fotografies, documentació de l’habitatge, referència de renda si escau i justificant de fiança quan estigui disponible].</w:t>
      </w:r>
    </w:p>
    <w:p>
      <w:pPr>
        <w:jc w:val="both"/>
      </w:pPr>
      <w:r>
        <w:rPr>
          <w:b/>
        </w:rPr>
        <w:t>Signatures:</w:t>
      </w:r>
      <w:r>
        <w:t xml:space="preserve"> [arrendador i arrendatari].</w:t>
      </w:r>
    </w:p>
    <w:p>
      <w:pPr>
        <w:jc w:val="both"/>
      </w:pPr>
      <w:r>
        <w:t>Fonts: [LAU](https://www.boe.es/eli/es/l/1994/11/24/29/con), [INCASÒL: Llei 13/1996 i dipòsit de fiances](https://incasol.gencat.cat/ca/serveis-i-tramits/fiances-de-lloguers/informacio/diposit-de-fiances), [Llei 12/2023](https://www.boe.es/eli/es/l/2023/05/24/12/con). Model per a habitatge habitual complet: no serveix per a temporada, local, turisme ni habitacions amb règim específic.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